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1B" w:rsidRPr="00DD231B" w:rsidRDefault="00DD231B" w:rsidP="00781848">
      <w:pPr>
        <w:shd w:val="clear" w:color="auto" w:fill="F9F9FB"/>
        <w:spacing w:before="200" w:after="200"/>
        <w:jc w:val="center"/>
        <w:rPr>
          <w:rFonts w:ascii="Questa-Regular" w:hAnsi="Questa-Regular"/>
          <w:color w:val="FF0000"/>
          <w:sz w:val="31"/>
          <w:szCs w:val="28"/>
          <w:lang w:val="en-US"/>
        </w:rPr>
      </w:pPr>
      <w:r w:rsidRPr="00DD231B">
        <w:rPr>
          <w:color w:val="FF0000"/>
          <w:sz w:val="20"/>
          <w:szCs w:val="16"/>
          <w:lang w:val="en-US"/>
        </w:rPr>
        <w:t>In case of any discrepancy between the original Danish text and the English translation of this Act, the Danish text shall prevail.</w:t>
      </w:r>
    </w:p>
    <w:p w:rsidR="001B3CB9" w:rsidRPr="001B3CB9" w:rsidRDefault="001B3CB9" w:rsidP="001B3CB9">
      <w:pPr>
        <w:shd w:val="clear" w:color="auto" w:fill="F9F9FB"/>
        <w:spacing w:before="200" w:after="200"/>
        <w:jc w:val="center"/>
        <w:rPr>
          <w:rFonts w:ascii="Questa-Regular" w:hAnsi="Questa-Regular"/>
          <w:color w:val="212529"/>
          <w:sz w:val="37"/>
          <w:szCs w:val="37"/>
          <w:lang w:val="en-US"/>
        </w:rPr>
      </w:pPr>
      <w:r w:rsidRPr="001B3CB9">
        <w:rPr>
          <w:rFonts w:ascii="Questa-Regular" w:hAnsi="Questa-Regular"/>
          <w:color w:val="212529"/>
          <w:sz w:val="37"/>
          <w:szCs w:val="37"/>
          <w:lang w:val="en-US"/>
        </w:rPr>
        <w:t>Order prohibiting the import, sale and export of mercury and mercury-containing products </w:t>
      </w:r>
      <w:bookmarkStart w:id="0" w:name="Henvisning_idc48e9c66-8be3-4398-b0a4-1a9"/>
      <w:r w:rsidRPr="001B3CB9">
        <w:rPr>
          <w:rFonts w:ascii="Questa-Regular" w:hAnsi="Questa-Regular"/>
          <w:color w:val="212529"/>
          <w:sz w:val="37"/>
          <w:szCs w:val="37"/>
        </w:rPr>
        <w:fldChar w:fldCharType="begin"/>
      </w:r>
      <w:r w:rsidRPr="001B3CB9">
        <w:rPr>
          <w:rFonts w:ascii="Questa-Regular" w:hAnsi="Questa-Regular"/>
          <w:color w:val="212529"/>
          <w:sz w:val="37"/>
          <w:szCs w:val="37"/>
          <w:lang w:val="en-US"/>
        </w:rPr>
        <w:instrText xml:space="preserve"> HYPERLINK "https://www.retsinformation.dk/eli/lta/2016/73" \l "idc48e9c66-8be3-4398-b0a4-1a998d8bbd59" </w:instrText>
      </w:r>
      <w:r w:rsidRPr="001B3CB9">
        <w:rPr>
          <w:rFonts w:ascii="Questa-Regular" w:hAnsi="Questa-Regular"/>
          <w:color w:val="212529"/>
          <w:sz w:val="37"/>
          <w:szCs w:val="37"/>
        </w:rPr>
        <w:fldChar w:fldCharType="separate"/>
      </w:r>
      <w:r w:rsidRPr="001B3CB9">
        <w:rPr>
          <w:rFonts w:ascii="Questa-Regular" w:hAnsi="Questa-Regular"/>
          <w:color w:val="176D41"/>
          <w:sz w:val="19"/>
          <w:szCs w:val="19"/>
          <w:u w:val="single"/>
          <w:lang w:val="en-US"/>
        </w:rPr>
        <w:t>1)</w:t>
      </w:r>
      <w:r w:rsidRPr="001B3CB9">
        <w:rPr>
          <w:rFonts w:ascii="Questa-Regular" w:hAnsi="Questa-Regular"/>
          <w:color w:val="212529"/>
          <w:sz w:val="37"/>
          <w:szCs w:val="37"/>
        </w:rPr>
        <w:fldChar w:fldCharType="end"/>
      </w:r>
      <w:bookmarkEnd w:id="0"/>
    </w:p>
    <w:p w:rsidR="001B3CB9" w:rsidRPr="001B3CB9" w:rsidRDefault="001B3CB9" w:rsidP="001B3CB9">
      <w:pPr>
        <w:shd w:val="clear" w:color="auto" w:fill="F9F9FB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Pursuant to section 8, subsection 1, § 30, § 45, para. 1, 2nd sentence, and § 59, para. 4 of the Chemicals Act, cf. Executive Order no. 849 of 24 June 2014, shall be determined after authorization in accordance with section 45, subsection 1, 1st sentence:</w:t>
      </w:r>
    </w:p>
    <w:p w:rsidR="001B3CB9" w:rsidRPr="001B3CB9" w:rsidRDefault="001B3CB9" w:rsidP="001B3CB9">
      <w:pPr>
        <w:shd w:val="clear" w:color="auto" w:fill="F9F9FB"/>
        <w:spacing w:before="300" w:after="100"/>
        <w:jc w:val="center"/>
        <w:rPr>
          <w:rFonts w:ascii="Questa-Regular" w:hAnsi="Questa-Regular"/>
          <w:i/>
          <w:iCs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Area of ​​the Executive Order</w:t>
      </w:r>
    </w:p>
    <w:p w:rsidR="001B3CB9" w:rsidRPr="001B3CB9" w:rsidRDefault="001B3CB9" w:rsidP="001B3CB9">
      <w:pPr>
        <w:shd w:val="clear" w:color="auto" w:fill="F9F9FB"/>
        <w:spacing w:before="200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b/>
          <w:bCs/>
          <w:color w:val="212529"/>
          <w:sz w:val="23"/>
          <w:szCs w:val="23"/>
          <w:lang w:val="en-US"/>
        </w:rPr>
        <w:t>§ 1.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Import, sale and export of mercury and mercury-containing products is prohibited.</w:t>
      </w:r>
    </w:p>
    <w:p w:rsidR="001B3CB9" w:rsidRPr="001B3CB9" w:rsidRDefault="001B3CB9" w:rsidP="001B3CB9">
      <w:pPr>
        <w:shd w:val="clear" w:color="auto" w:fill="F9F9FB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PCS. 2.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Mercury means the element mercury, both in metallic form and in chemical compounds.</w:t>
      </w:r>
    </w:p>
    <w:p w:rsidR="001B3CB9" w:rsidRPr="001B3CB9" w:rsidRDefault="001B3CB9" w:rsidP="001B3CB9">
      <w:pPr>
        <w:shd w:val="clear" w:color="auto" w:fill="F9F9FB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PCS. 3.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Mercury-containing products means products in which mercury is present at more than 100 ppm (mg / kg) in the homogeneous individual parts of the product.</w:t>
      </w:r>
    </w:p>
    <w:p w:rsidR="001B3CB9" w:rsidRPr="001B3CB9" w:rsidRDefault="001B3CB9" w:rsidP="001B3CB9">
      <w:pPr>
        <w:shd w:val="clear" w:color="auto" w:fill="F9F9FB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PCS. 4.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Notwithstanding the prohibition in paragraph 1, the import, sale and export of mercury-containing products that are listed in the Annex allowed.</w:t>
      </w:r>
    </w:p>
    <w:p w:rsidR="001B3CB9" w:rsidRPr="001B3CB9" w:rsidRDefault="001B3CB9" w:rsidP="001B3CB9">
      <w:pPr>
        <w:shd w:val="clear" w:color="auto" w:fill="F9F9FB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PCS. 5. The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Executive Order does not cover the following:</w:t>
      </w:r>
    </w:p>
    <w:p w:rsidR="001B3CB9" w:rsidRPr="001B3CB9" w:rsidRDefault="001B3CB9" w:rsidP="001B3CB9">
      <w:pPr>
        <w:shd w:val="clear" w:color="auto" w:fill="F9F9FB"/>
        <w:ind w:left="28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1) Natural pollution in coal.</w:t>
      </w:r>
    </w:p>
    <w:p w:rsidR="001B3CB9" w:rsidRPr="001B3CB9" w:rsidRDefault="001B3CB9" w:rsidP="001B3CB9">
      <w:pPr>
        <w:shd w:val="clear" w:color="auto" w:fill="F9F9FB"/>
        <w:ind w:left="28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2) Used mercury-containing products that met Danish requirements at the first sale.</w:t>
      </w:r>
    </w:p>
    <w:p w:rsidR="001B3CB9" w:rsidRPr="001B3CB9" w:rsidRDefault="001B3CB9" w:rsidP="001B3CB9">
      <w:pPr>
        <w:shd w:val="clear" w:color="auto" w:fill="F9F9FB"/>
        <w:ind w:left="28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3) Products regulated by other legislation, unless stated in the Annex.</w:t>
      </w:r>
    </w:p>
    <w:p w:rsidR="001B3CB9" w:rsidRPr="001B3CB9" w:rsidRDefault="001B3CB9" w:rsidP="001B3CB9">
      <w:pPr>
        <w:shd w:val="clear" w:color="auto" w:fill="F9F9FB"/>
        <w:spacing w:before="300" w:after="100"/>
        <w:jc w:val="center"/>
        <w:rPr>
          <w:rFonts w:ascii="Questa-Regular" w:hAnsi="Questa-Regular"/>
          <w:i/>
          <w:iCs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Administrative provisions</w:t>
      </w:r>
    </w:p>
    <w:p w:rsidR="001B3CB9" w:rsidRPr="001B3CB9" w:rsidRDefault="001B3CB9" w:rsidP="001B3CB9">
      <w:pPr>
        <w:shd w:val="clear" w:color="auto" w:fill="F9F9FB"/>
        <w:spacing w:before="200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b/>
          <w:bCs/>
          <w:color w:val="212529"/>
          <w:sz w:val="23"/>
          <w:szCs w:val="23"/>
          <w:lang w:val="en-US"/>
        </w:rPr>
        <w:t>§ 2.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Supervision and control of the rules in the executive order is exercised by the Danish Environmental Protection Agency, cf. the rules of the Act in this regard.</w:t>
      </w:r>
    </w:p>
    <w:p w:rsidR="001B3CB9" w:rsidRPr="001B3CB9" w:rsidRDefault="001B3CB9" w:rsidP="001B3CB9">
      <w:pPr>
        <w:shd w:val="clear" w:color="auto" w:fill="F9F9FB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PCS. (2)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In very special cases, the Danish Environmental Protection Agency may allow the rules in the executive order to be deviated from.</w:t>
      </w:r>
    </w:p>
    <w:p w:rsidR="001B3CB9" w:rsidRPr="001B3CB9" w:rsidRDefault="001B3CB9" w:rsidP="001B3CB9">
      <w:pPr>
        <w:shd w:val="clear" w:color="auto" w:fill="F9F9FB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PCS. 3. The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 xml:space="preserve"> Danish Environmental Protection Agency's decisions pursuant to subsection 2 </w:t>
      </w:r>
      <w:proofErr w:type="spellStart"/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can not</w:t>
      </w:r>
      <w:proofErr w:type="spellEnd"/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 xml:space="preserve"> be appealed to another administrative authority.</w:t>
      </w:r>
    </w:p>
    <w:p w:rsidR="001B3CB9" w:rsidRPr="001B3CB9" w:rsidRDefault="001B3CB9" w:rsidP="001B3CB9">
      <w:pPr>
        <w:shd w:val="clear" w:color="auto" w:fill="F9F9FB"/>
        <w:spacing w:before="300" w:after="100"/>
        <w:jc w:val="center"/>
        <w:rPr>
          <w:rFonts w:ascii="Questa-Regular" w:hAnsi="Questa-Regular"/>
          <w:i/>
          <w:iCs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Punishment</w:t>
      </w:r>
    </w:p>
    <w:p w:rsidR="001B3CB9" w:rsidRPr="001B3CB9" w:rsidRDefault="001B3CB9" w:rsidP="001B3CB9">
      <w:pPr>
        <w:shd w:val="clear" w:color="auto" w:fill="F9F9FB"/>
        <w:spacing w:before="200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b/>
          <w:bCs/>
          <w:color w:val="212529"/>
          <w:sz w:val="23"/>
          <w:szCs w:val="23"/>
          <w:lang w:val="en-US"/>
        </w:rPr>
        <w:t>§ 3.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Unless a higher penalty is due under other legislation, anyone who violates the rules in § 1 of the Executive Order will be fined.</w:t>
      </w:r>
    </w:p>
    <w:p w:rsidR="001B3CB9" w:rsidRPr="001B3CB9" w:rsidRDefault="001B3CB9" w:rsidP="001B3CB9">
      <w:pPr>
        <w:shd w:val="clear" w:color="auto" w:fill="F9F9FB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PCS. 2.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The penalty may increase to imprisonment for up to 2 years if the offense is committed intentionally or by gross negligence, and if the offense is</w:t>
      </w:r>
    </w:p>
    <w:p w:rsidR="001B3CB9" w:rsidRPr="001B3CB9" w:rsidRDefault="001B3CB9" w:rsidP="001B3CB9">
      <w:pPr>
        <w:shd w:val="clear" w:color="auto" w:fill="F9F9FB"/>
        <w:ind w:left="28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1) caused damage to human or domestic life or health or caused danger thereof,</w:t>
      </w:r>
    </w:p>
    <w:p w:rsidR="001B3CB9" w:rsidRPr="001B3CB9" w:rsidRDefault="001B3CB9" w:rsidP="001B3CB9">
      <w:pPr>
        <w:shd w:val="clear" w:color="auto" w:fill="F9F9FB"/>
        <w:ind w:left="28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2) damage to the environment or risk of harm or</w:t>
      </w:r>
    </w:p>
    <w:p w:rsidR="001B3CB9" w:rsidRPr="001B3CB9" w:rsidRDefault="001B3CB9" w:rsidP="001B3CB9">
      <w:pPr>
        <w:shd w:val="clear" w:color="auto" w:fill="F9F9FB"/>
        <w:ind w:left="28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3) obtained or intended a financial benefit, including through savings, for the person himself or others.</w:t>
      </w:r>
    </w:p>
    <w:p w:rsidR="001B3CB9" w:rsidRPr="001B3CB9" w:rsidRDefault="001B3CB9" w:rsidP="001B3CB9">
      <w:pPr>
        <w:shd w:val="clear" w:color="auto" w:fill="F9F9FB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PCS. 3.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Companies etc. (legal persons) may be held criminally liable in accordance with the rules in Chapter 5 of the Criminal Code.</w:t>
      </w:r>
    </w:p>
    <w:p w:rsidR="001B3CB9" w:rsidRPr="001B3CB9" w:rsidRDefault="001B3CB9" w:rsidP="001B3CB9">
      <w:pPr>
        <w:shd w:val="clear" w:color="auto" w:fill="F9F9FB"/>
        <w:spacing w:before="300" w:after="100"/>
        <w:jc w:val="center"/>
        <w:rPr>
          <w:rFonts w:ascii="Questa-Regular" w:hAnsi="Questa-Regular"/>
          <w:i/>
          <w:iCs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Entry into force</w:t>
      </w:r>
    </w:p>
    <w:p w:rsidR="001B3CB9" w:rsidRPr="001B3CB9" w:rsidRDefault="001B3CB9" w:rsidP="001B3CB9">
      <w:pPr>
        <w:shd w:val="clear" w:color="auto" w:fill="F9F9FB"/>
        <w:spacing w:before="200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b/>
          <w:bCs/>
          <w:color w:val="212529"/>
          <w:sz w:val="23"/>
          <w:szCs w:val="23"/>
          <w:lang w:val="en-US"/>
        </w:rPr>
        <w:t>§ 4. The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Executive Order enters into force on 31 January 2016.</w:t>
      </w:r>
    </w:p>
    <w:p w:rsidR="001B3CB9" w:rsidRPr="001B3CB9" w:rsidRDefault="001B3CB9" w:rsidP="001B3CB9">
      <w:pPr>
        <w:shd w:val="clear" w:color="auto" w:fill="F9F9FB"/>
        <w:ind w:firstLine="24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PCS. 2.</w:t>
      </w: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 Executive Order no. 627 of 1 July 2003 on a ban on the import, sale and export of mercury and mercury-containing products is repealed.</w:t>
      </w:r>
    </w:p>
    <w:p w:rsidR="001B3CB9" w:rsidRPr="001B3CB9" w:rsidRDefault="001B3CB9" w:rsidP="001B3CB9">
      <w:pPr>
        <w:shd w:val="clear" w:color="auto" w:fill="F9F9FB"/>
        <w:spacing w:before="120"/>
        <w:jc w:val="center"/>
        <w:rPr>
          <w:rFonts w:ascii="Questa-Regular" w:hAnsi="Questa-Regular"/>
          <w:i/>
          <w:iCs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i/>
          <w:iCs/>
          <w:color w:val="212529"/>
          <w:sz w:val="23"/>
          <w:szCs w:val="23"/>
          <w:lang w:val="en-US"/>
        </w:rPr>
        <w:t>The Danish Environmental Protection Agency, 25 January 2016</w:t>
      </w:r>
    </w:p>
    <w:p w:rsidR="001B3CB9" w:rsidRPr="001B3CB9" w:rsidRDefault="001B3CB9" w:rsidP="001B3CB9">
      <w:pPr>
        <w:shd w:val="clear" w:color="auto" w:fill="F9F9FB"/>
        <w:spacing w:before="120"/>
        <w:jc w:val="center"/>
        <w:rPr>
          <w:rFonts w:ascii="Questa-Regular" w:hAnsi="Questa-Regular"/>
          <w:color w:val="212529"/>
          <w:sz w:val="23"/>
          <w:szCs w:val="23"/>
        </w:rPr>
      </w:pPr>
      <w:r w:rsidRPr="001B3CB9">
        <w:rPr>
          <w:rFonts w:ascii="Questa-Regular" w:hAnsi="Questa-Regular"/>
          <w:color w:val="212529"/>
          <w:sz w:val="23"/>
          <w:szCs w:val="23"/>
        </w:rPr>
        <w:lastRenderedPageBreak/>
        <w:t>Michel Schilling</w:t>
      </w:r>
    </w:p>
    <w:p w:rsidR="001B3CB9" w:rsidRPr="001B3CB9" w:rsidRDefault="001B3CB9" w:rsidP="001B3CB9">
      <w:pPr>
        <w:shd w:val="clear" w:color="auto" w:fill="F9F9FB"/>
        <w:jc w:val="right"/>
        <w:rPr>
          <w:rFonts w:ascii="Questa-Regular" w:hAnsi="Questa-Regular"/>
          <w:color w:val="212529"/>
          <w:sz w:val="23"/>
          <w:szCs w:val="23"/>
        </w:rPr>
      </w:pPr>
      <w:r w:rsidRPr="001B3CB9">
        <w:rPr>
          <w:rFonts w:ascii="Questa-Regular" w:hAnsi="Questa-Regular"/>
          <w:color w:val="212529"/>
          <w:sz w:val="23"/>
          <w:szCs w:val="23"/>
        </w:rPr>
        <w:t>/ Peter Østergård Have</w:t>
      </w:r>
    </w:p>
    <w:p w:rsidR="001B3CB9" w:rsidRPr="001B3CB9" w:rsidRDefault="001B3CB9" w:rsidP="001B3CB9">
      <w:pPr>
        <w:spacing w:before="200" w:after="200"/>
        <w:rPr>
          <w:rFonts w:ascii="Times New Roman" w:hAnsi="Times New Roman"/>
          <w:szCs w:val="24"/>
        </w:rPr>
      </w:pPr>
      <w:r w:rsidRPr="001B3CB9">
        <w:rPr>
          <w:rFonts w:ascii="Times New Roman" w:hAnsi="Times New Roman"/>
          <w:szCs w:val="24"/>
        </w:rPr>
        <w:pict>
          <v:rect id="_x0000_i1031" style="width:416.3pt;height:0" o:hrpct="0" o:hralign="center" o:hrstd="t" o:hr="t" fillcolor="#a0a0a0" stroked="f"/>
        </w:pict>
      </w:r>
    </w:p>
    <w:p w:rsidR="001B3CB9" w:rsidRPr="001B3CB9" w:rsidRDefault="001B3CB9" w:rsidP="001B3CB9">
      <w:pPr>
        <w:shd w:val="clear" w:color="auto" w:fill="F9F9FB"/>
        <w:spacing w:before="400" w:after="120"/>
        <w:jc w:val="right"/>
        <w:rPr>
          <w:rFonts w:ascii="Questa-Regular" w:hAnsi="Questa-Regular"/>
          <w:b/>
          <w:bCs/>
          <w:color w:val="212529"/>
          <w:sz w:val="32"/>
          <w:szCs w:val="32"/>
          <w:lang w:val="en-US"/>
        </w:rPr>
      </w:pPr>
      <w:r w:rsidRPr="001B3CB9">
        <w:rPr>
          <w:rFonts w:ascii="Questa-Regular" w:hAnsi="Questa-Regular"/>
          <w:b/>
          <w:bCs/>
          <w:color w:val="212529"/>
          <w:sz w:val="32"/>
          <w:szCs w:val="32"/>
          <w:lang w:val="en-US"/>
        </w:rPr>
        <w:t>Annex 1</w:t>
      </w:r>
    </w:p>
    <w:p w:rsidR="001B3CB9" w:rsidRPr="001B3CB9" w:rsidRDefault="001B3CB9" w:rsidP="001B3CB9">
      <w:pPr>
        <w:shd w:val="clear" w:color="auto" w:fill="F9F9FB"/>
        <w:spacing w:after="120"/>
        <w:jc w:val="center"/>
        <w:rPr>
          <w:rFonts w:ascii="Questa-Regular" w:hAnsi="Questa-Regular"/>
          <w:b/>
          <w:bCs/>
          <w:color w:val="212529"/>
          <w:sz w:val="28"/>
          <w:szCs w:val="28"/>
          <w:lang w:val="en-US"/>
        </w:rPr>
      </w:pPr>
      <w:r w:rsidRPr="001B3CB9">
        <w:rPr>
          <w:rFonts w:ascii="Questa-Regular" w:hAnsi="Questa-Regular"/>
          <w:b/>
          <w:bCs/>
          <w:color w:val="212529"/>
          <w:sz w:val="28"/>
          <w:szCs w:val="28"/>
          <w:lang w:val="en-US"/>
        </w:rPr>
        <w:t>List of mercury-containing products where import, sale and export - notwithstanding the prohibition in § 1 - are permitted</w:t>
      </w:r>
    </w:p>
    <w:p w:rsidR="001B3CB9" w:rsidRPr="001B3CB9" w:rsidRDefault="001B3CB9" w:rsidP="001B3CB9">
      <w:pPr>
        <w:shd w:val="clear" w:color="auto" w:fill="F9F9FB"/>
        <w:spacing w:after="100" w:afterAutospacing="1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1. Products for dental filling of permanent cheek teeth, where there is wear on the filling.</w:t>
      </w:r>
    </w:p>
    <w:p w:rsidR="001B3CB9" w:rsidRPr="001B3CB9" w:rsidRDefault="001B3CB9" w:rsidP="001B3CB9">
      <w:pPr>
        <w:shd w:val="clear" w:color="auto" w:fill="F9F9FB"/>
        <w:spacing w:after="100" w:afterAutospacing="1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2. Mercury-wetted film switches and relays complying with EN 119000, for special applications in enterprises: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Telecommunications and data communications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- process control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- PLC remote control of energy supply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Electrical test systems.</w:t>
      </w:r>
    </w:p>
    <w:p w:rsidR="001B3CB9" w:rsidRPr="001B3CB9" w:rsidRDefault="001B3CB9" w:rsidP="001B3CB9">
      <w:pPr>
        <w:shd w:val="clear" w:color="auto" w:fill="F9F9FB"/>
        <w:spacing w:after="100" w:afterAutospacing="1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3. Special light sources: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Discharge lamps, including low energy light bulbs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- for analysis work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- for graphic work.</w:t>
      </w:r>
    </w:p>
    <w:p w:rsidR="001B3CB9" w:rsidRPr="001B3CB9" w:rsidRDefault="001B3CB9" w:rsidP="001B3CB9">
      <w:pPr>
        <w:shd w:val="clear" w:color="auto" w:fill="F9F9FB"/>
        <w:spacing w:after="100" w:afterAutospacing="1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4. Indicators for safety systems on railways.</w:t>
      </w:r>
    </w:p>
    <w:p w:rsidR="001B3CB9" w:rsidRPr="001B3CB9" w:rsidRDefault="001B3CB9" w:rsidP="001B3CB9">
      <w:pPr>
        <w:shd w:val="clear" w:color="auto" w:fill="F9F9FB"/>
        <w:spacing w:after="100" w:afterAutospacing="1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5. Electrodes for special applications: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- polarographic analysis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- potentiometric analysis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- calomel reference</w:t>
      </w:r>
    </w:p>
    <w:p w:rsidR="001B3CB9" w:rsidRPr="001B3CB9" w:rsidRDefault="001B3CB9" w:rsidP="001B3CB9">
      <w:pPr>
        <w:shd w:val="clear" w:color="auto" w:fill="F9F9FB"/>
        <w:spacing w:after="100" w:afterAutospacing="1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6. Mercury-containing chemicals for special applications: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Raw material for analytical reagents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Assay reagents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Standards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Preservation of starch for laboratory use</w:t>
      </w:r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 xml:space="preserve">– </w:t>
      </w:r>
      <w:proofErr w:type="spellStart"/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isotopfortyndingsanalyse</w:t>
      </w:r>
      <w:proofErr w:type="spellEnd"/>
    </w:p>
    <w:p w:rsidR="001B3CB9" w:rsidRPr="001B3CB9" w:rsidRDefault="001B3CB9" w:rsidP="001B3CB9">
      <w:pPr>
        <w:shd w:val="clear" w:color="auto" w:fill="F9F9FB"/>
        <w:ind w:left="440" w:hanging="220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Catalysts.</w:t>
      </w:r>
    </w:p>
    <w:p w:rsidR="001B3CB9" w:rsidRPr="001B3CB9" w:rsidRDefault="001B3CB9" w:rsidP="001B3CB9">
      <w:pPr>
        <w:shd w:val="clear" w:color="auto" w:fill="F9F9FB"/>
        <w:spacing w:after="100" w:afterAutospacing="1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 xml:space="preserve">7. Products for research, including </w:t>
      </w:r>
      <w:proofErr w:type="spellStart"/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odontological</w:t>
      </w:r>
      <w:proofErr w:type="spellEnd"/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.</w:t>
      </w:r>
    </w:p>
    <w:p w:rsidR="001B3CB9" w:rsidRPr="001B3CB9" w:rsidRDefault="001B3CB9" w:rsidP="001B3CB9">
      <w:pPr>
        <w:shd w:val="clear" w:color="auto" w:fill="F9F9FB"/>
        <w:spacing w:after="100" w:afterAutospacing="1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8. Products for teaching.</w:t>
      </w:r>
    </w:p>
    <w:p w:rsidR="001B3CB9" w:rsidRPr="001B3CB9" w:rsidRDefault="001B3CB9" w:rsidP="001B3CB9">
      <w:pPr>
        <w:shd w:val="clear" w:color="auto" w:fill="F9F9FB"/>
        <w:spacing w:after="100" w:afterAutospacing="1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9. Products for vital uses in aircraft.</w:t>
      </w:r>
    </w:p>
    <w:p w:rsidR="001B3CB9" w:rsidRPr="001B3CB9" w:rsidRDefault="001B3CB9" w:rsidP="001B3CB9">
      <w:pPr>
        <w:shd w:val="clear" w:color="auto" w:fill="F9F9FB"/>
        <w:spacing w:after="100" w:afterAutospacing="1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10. Products for the repair of existing mercury-containing equipment.</w:t>
      </w:r>
    </w:p>
    <w:p w:rsidR="001B3CB9" w:rsidRPr="001B3CB9" w:rsidRDefault="001B3CB9" w:rsidP="001B3CB9">
      <w:pPr>
        <w:shd w:val="clear" w:color="auto" w:fill="E1ECDF"/>
        <w:jc w:val="center"/>
        <w:rPr>
          <w:rFonts w:ascii="Questa-Regular" w:hAnsi="Questa-Regular"/>
          <w:color w:val="212529"/>
          <w:sz w:val="23"/>
          <w:szCs w:val="23"/>
          <w:lang w:val="en-US"/>
        </w:rPr>
      </w:pPr>
      <w:r w:rsidRPr="001B3CB9">
        <w:rPr>
          <w:rFonts w:ascii="Questa-Regular" w:hAnsi="Questa-Regular"/>
          <w:color w:val="212529"/>
          <w:sz w:val="23"/>
          <w:szCs w:val="23"/>
          <w:lang w:val="en-US"/>
        </w:rPr>
        <w:t>Official notes</w:t>
      </w:r>
    </w:p>
    <w:bookmarkStart w:id="1" w:name="idc48e9c66-8be3-4398-b0a4-1a998d8bbd59"/>
    <w:p w:rsidR="0050719D" w:rsidRPr="001B3CB9" w:rsidRDefault="001B3CB9" w:rsidP="001B3CB9">
      <w:pPr>
        <w:shd w:val="clear" w:color="auto" w:fill="F9F9FB"/>
        <w:spacing w:before="40" w:after="40"/>
        <w:rPr>
          <w:rFonts w:ascii="Questa-Regular" w:hAnsi="Questa-Regular"/>
          <w:color w:val="212529"/>
          <w:sz w:val="19"/>
          <w:szCs w:val="19"/>
          <w:lang w:val="en-US"/>
        </w:rPr>
      </w:pPr>
      <w:r w:rsidRPr="001B3CB9">
        <w:rPr>
          <w:rFonts w:ascii="Questa-Regular" w:hAnsi="Questa-Regular"/>
          <w:color w:val="212529"/>
          <w:sz w:val="19"/>
          <w:szCs w:val="19"/>
        </w:rPr>
        <w:fldChar w:fldCharType="begin"/>
      </w:r>
      <w:r w:rsidRPr="001B3CB9">
        <w:rPr>
          <w:rFonts w:ascii="Questa-Regular" w:hAnsi="Questa-Regular"/>
          <w:color w:val="212529"/>
          <w:sz w:val="19"/>
          <w:szCs w:val="19"/>
          <w:lang w:val="en-US"/>
        </w:rPr>
        <w:instrText xml:space="preserve"> HYPERLINK "https://www.retsinformation.dk/eli/lta/2016/73" \l "Henvisning_idc48e9c66-8be3-4398-b0a4-1a998d8bbd59" </w:instrText>
      </w:r>
      <w:r w:rsidRPr="001B3CB9">
        <w:rPr>
          <w:rFonts w:ascii="Questa-Regular" w:hAnsi="Questa-Regular"/>
          <w:color w:val="212529"/>
          <w:sz w:val="19"/>
          <w:szCs w:val="19"/>
        </w:rPr>
        <w:fldChar w:fldCharType="separate"/>
      </w:r>
      <w:r w:rsidRPr="001B3CB9">
        <w:rPr>
          <w:rFonts w:ascii="Questa-Regular" w:hAnsi="Questa-Regular"/>
          <w:color w:val="176D41"/>
          <w:sz w:val="16"/>
          <w:szCs w:val="16"/>
          <w:u w:val="single"/>
          <w:vertAlign w:val="superscript"/>
          <w:lang w:val="en-US"/>
        </w:rPr>
        <w:t>1)</w:t>
      </w:r>
      <w:r w:rsidRPr="001B3CB9">
        <w:rPr>
          <w:rFonts w:ascii="Questa-Regular" w:hAnsi="Questa-Regular"/>
          <w:color w:val="212529"/>
          <w:sz w:val="19"/>
          <w:szCs w:val="19"/>
        </w:rPr>
        <w:fldChar w:fldCharType="end"/>
      </w:r>
      <w:bookmarkEnd w:id="1"/>
      <w:r w:rsidRPr="001B3CB9">
        <w:rPr>
          <w:rFonts w:ascii="Questa-Regular" w:hAnsi="Questa-Regular"/>
          <w:color w:val="212529"/>
          <w:sz w:val="19"/>
          <w:szCs w:val="19"/>
          <w:lang w:val="en-US"/>
        </w:rPr>
        <w:t> The draft has been notified as a draft in accordance with Directive 98/34 / EC of the European Parliament and of the Council (Information Procedures Directive), as last amended by Directive 98/48.</w:t>
      </w:r>
      <w:bookmarkStart w:id="2" w:name="_GoBack"/>
      <w:bookmarkEnd w:id="2"/>
    </w:p>
    <w:sectPr w:rsidR="0050719D" w:rsidRPr="001B3CB9" w:rsidSect="00857303"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666" w:rsidRDefault="00D30666" w:rsidP="00EC76D3">
      <w:r>
        <w:separator/>
      </w:r>
    </w:p>
  </w:endnote>
  <w:endnote w:type="continuationSeparator" w:id="0">
    <w:p w:rsidR="00D30666" w:rsidRDefault="00D30666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666" w:rsidRDefault="00D30666" w:rsidP="00EC76D3">
      <w:r>
        <w:separator/>
      </w:r>
    </w:p>
  </w:footnote>
  <w:footnote w:type="continuationSeparator" w:id="0">
    <w:p w:rsidR="00D30666" w:rsidRDefault="00D30666" w:rsidP="00EC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48"/>
    <w:rsid w:val="001B3CB9"/>
    <w:rsid w:val="002105F4"/>
    <w:rsid w:val="00353179"/>
    <w:rsid w:val="0050719D"/>
    <w:rsid w:val="00535490"/>
    <w:rsid w:val="00546FFD"/>
    <w:rsid w:val="00755B7B"/>
    <w:rsid w:val="00781848"/>
    <w:rsid w:val="00802174"/>
    <w:rsid w:val="00857303"/>
    <w:rsid w:val="008B55D4"/>
    <w:rsid w:val="008E3CA0"/>
    <w:rsid w:val="009E427B"/>
    <w:rsid w:val="00AD48DB"/>
    <w:rsid w:val="00B0561F"/>
    <w:rsid w:val="00C16FAC"/>
    <w:rsid w:val="00D23C46"/>
    <w:rsid w:val="00D30666"/>
    <w:rsid w:val="00DD231B"/>
    <w:rsid w:val="00EC76D3"/>
    <w:rsid w:val="00E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66DBD"/>
  <w15:chartTrackingRefBased/>
  <w15:docId w15:val="{E6059F1C-D881-493D-9AF2-878F68A0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customStyle="1" w:styleId="titel2">
    <w:name w:val="titel2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781848"/>
    <w:rPr>
      <w:color w:val="0000FF"/>
      <w:u w:val="single"/>
    </w:rPr>
  </w:style>
  <w:style w:type="paragraph" w:customStyle="1" w:styleId="indledning2">
    <w:name w:val="indledning2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agraf">
    <w:name w:val="paragraf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aragrafnr">
    <w:name w:val="paragrafnr"/>
    <w:basedOn w:val="Standardskrifttypeiafsnit"/>
    <w:rsid w:val="00781848"/>
  </w:style>
  <w:style w:type="paragraph" w:customStyle="1" w:styleId="liste1">
    <w:name w:val="liste1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iste1nr">
    <w:name w:val="liste1nr"/>
    <w:basedOn w:val="Standardskrifttypeiafsnit"/>
    <w:rsid w:val="00781848"/>
  </w:style>
  <w:style w:type="paragraph" w:customStyle="1" w:styleId="stk2">
    <w:name w:val="stk2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knr">
    <w:name w:val="stknr"/>
    <w:basedOn w:val="Standardskrifttypeiafsnit"/>
    <w:rsid w:val="00781848"/>
  </w:style>
  <w:style w:type="paragraph" w:customStyle="1" w:styleId="givet">
    <w:name w:val="givet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ign1">
    <w:name w:val="sign1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ign2">
    <w:name w:val="sign2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dnote">
    <w:name w:val="fodnote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27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27B"/>
    <w:rPr>
      <w:rFonts w:ascii="Segoe UI" w:hAnsi="Segoe UI" w:cs="Segoe UI"/>
      <w:sz w:val="18"/>
      <w:szCs w:val="18"/>
    </w:rPr>
  </w:style>
  <w:style w:type="paragraph" w:customStyle="1" w:styleId="kapitel">
    <w:name w:val="kapitel"/>
    <w:basedOn w:val="Normal"/>
    <w:rsid w:val="00AD48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kapiteloverskrift2">
    <w:name w:val="kapiteloverskrift2"/>
    <w:basedOn w:val="Normal"/>
    <w:rsid w:val="00AD48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ilag">
    <w:name w:val="bilag"/>
    <w:basedOn w:val="Normal"/>
    <w:rsid w:val="00AD48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ilagtekst">
    <w:name w:val="bilagtekst"/>
    <w:basedOn w:val="Normal"/>
    <w:rsid w:val="00AD48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kst">
    <w:name w:val="tekst"/>
    <w:basedOn w:val="Normal"/>
    <w:rsid w:val="00AD48D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ld">
    <w:name w:val="bold"/>
    <w:basedOn w:val="Standardskrifttypeiafsnit"/>
    <w:rsid w:val="00AD48DB"/>
  </w:style>
  <w:style w:type="paragraph" w:customStyle="1" w:styleId="paragrafgruppeoverskrift">
    <w:name w:val="paragrafgruppeoverskrift"/>
    <w:basedOn w:val="Normal"/>
    <w:rsid w:val="001B3C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1B3C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2">
    <w:name w:val="tab2"/>
    <w:basedOn w:val="Normal"/>
    <w:rsid w:val="001B3CB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Engelsted Jonasen</dc:creator>
  <cp:keywords/>
  <dc:description/>
  <cp:lastModifiedBy>Rasmus Engelsted Jonasen</cp:lastModifiedBy>
  <cp:revision>3</cp:revision>
  <dcterms:created xsi:type="dcterms:W3CDTF">2020-12-09T11:09:00Z</dcterms:created>
  <dcterms:modified xsi:type="dcterms:W3CDTF">2020-12-09T11:10:00Z</dcterms:modified>
</cp:coreProperties>
</file>